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6237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4 </w:t>
      </w:r>
    </w:p>
    <w:p>
      <w:pPr>
        <w:suppressAutoHyphens w:val="true"/>
        <w:spacing w:before="0" w:after="0" w:line="240"/>
        <w:ind w:right="0" w:left="6237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00" w:val="clear"/>
        </w:rPr>
      </w:pPr>
    </w:p>
    <w:p>
      <w:pPr>
        <w:suppressAutoHyphens w:val="true"/>
        <w:spacing w:before="0" w:after="0" w:line="240"/>
        <w:ind w:right="0" w:left="6237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к письму </w:t>
      </w:r>
    </w:p>
    <w:p>
      <w:pPr>
        <w:suppressAutoHyphens w:val="true"/>
        <w:spacing w:before="0" w:after="0" w:line="240"/>
        <w:ind w:right="0" w:left="6237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Министерства образования и науки </w:t>
      </w:r>
    </w:p>
    <w:p>
      <w:pPr>
        <w:suppressAutoHyphens w:val="true"/>
        <w:spacing w:before="0" w:after="0" w:line="240"/>
        <w:ind w:right="0" w:left="6237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Республики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Дагестан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uppressAutoHyphens w:val="true"/>
        <w:spacing w:before="0" w:after="0" w:line="240"/>
        <w:ind w:right="0" w:left="6237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 31.03.2020 №04-05/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Рекомендации по регулированию отдельных вопросов осуществления образовательного процесса в условиях дистанционного обучения, </w:t>
      </w:r>
    </w:p>
    <w:p>
      <w:pPr>
        <w:suppressAutoHyphens w:val="true"/>
        <w:spacing w:before="0" w:after="0" w:line="240"/>
        <w:ind w:right="0" w:left="0" w:firstLine="709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1.</w:t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План мероприятий по обеспечению перехода на дистанционное обучение в общеобразовательной организации.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эффективной организации работы по переходу на дистанционное обучение в общеобразовательной организации рекомендуется составить соответствующий план мероприятий и утвердить его приказом директора.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Рекомендуемый план мероприятий (приложение №1) включает необходимые мероприятия, перечень которых может быть расширен, детализирован или укрупнен в зависимости от специфики общеобразовательной организации.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2.</w:t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Учебный план.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Переход на дистанционное обучение не предусматривает внесения изменений в учебный план общеобразовательной организации, в том числе для обучающихся на дому.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Согласно утвержденному учебному плану в период дистанционного обучения продолжается полноценная реализация образовательных программ учебных предметов обязательной части и части, формируемой участниками образовательных отношений, в соответствии с федеральными государственными стандартами общего образования и основными общеобразовательными программами общеобразовательных организаций.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Максимальный общий объем недельной образовательной нагрузки обучающихся не должен превышать установленных норм (Постановление Главного государственного санитарного врача РФ от 29.12.2010 № 189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СанПиН 2.4.2.2821-10 "Санитарно-эпидемиологические требования к условиям и организации обучения в общеобразовательных учреждениях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вместе 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СанПиН 2.4.2.2821-10. Санитарно-эпидемиологические требования к условиям и организации обучения в общеобразовательных организациях. Санитарно-эпидемиологические правила и нормативы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</w:t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Расписания уроков, занятий внеурочной деятельности.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Расписания уроков, занятий внеурочной деятельности (далее – расписания) подлежат корректировке в связи выбранными родителями (законными представителями) обучающихся, в том числе обучающихся на дому, формами дистанционного обучения (онлайн, кейс-технологии), способами проведения уроков, занятий.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Расписания подлежат обязательному их размещению на официальном сайте общеобразовательной организации в срок до 8 апреля 2020 года.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Ежедневная корректировка расписаний по объективным причинам (отсутствие по уважительной причине учителя и пр.) производится администрацией общеобразовательной организации в штатном режиме. Информация об изменении расписаний своевременно доводится до обучающихся любым дистанционным доступным способом, в том числе путем размещения на официальном сайте общеобразовательной организации. 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Рекомендуемая форма расписания уроков на период дистанционного обучения представлена в приложении №2 к настоящим рекомендациям.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3.</w:t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Расписание звонков.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Продолжительность уроков, занятий внеурочной деятельности в условиях дистанционного обучения, а также для обучающихся в дежурных группах сокращается до 30 минут, продолжительность перерывов между ними также подлежит изменению: предусматривается одна перемена продолжительностью 15 мин., остальные по 15 мин.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Рекомендуемая продолжительность уроков и перерывов между ними представлена в приложении №2 к настоящим рекомендациям.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Начало уроков для школьников Республики Дагестан, обучающихся дистанционно, является единым – 10.00. </w:t>
      </w:r>
    </w:p>
    <w:p>
      <w:pPr>
        <w:tabs>
          <w:tab w:val="left" w:pos="1134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4.</w:t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Рабочая программа учителя.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связи с увеличением каникулярного периода и сокращением времени освоения образовательных программ производится корректировка тематического планирования рабочей программы учителя.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 корректировке тематического планирования рабочей программы учителя могут быть перераспределены учебные единицы (темы, модули, учебные блоки и пр.), сокращено резервное время на повторение изученного материала, предусмотрен более широкий спектр самостоятельных видов работы обучающихся с учетом всех возможных форм дистанционного обучения (ссылки на электронные образовательные ресурсы, конференции, подробные инструкции при использовании исключительно кейс-технологий). 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 внесении изменений в тематическое планирование следует обеспечить выполнение практической части образовательной программы учебного предмета с использованием возможностей дистанционных технологий и электронных образовательных ресурсов.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приложении №3 к настоящим рекомендациям представлен пример формирования сетки тематического планирования.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134" w:leader="none"/>
          <w:tab w:val="left" w:pos="1276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5.</w:t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Классный журнал.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Записи во все видах журналов (классные, элективные, внеурочной деятельности, дополнительного образования и т.д.) ведутся в соответствии с тематическим планированием рабочей программы учителя, расписаниями уроков и занятий внеурочной деятельности, скорректированными на период дистанционного обучения.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графе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Что пройдено на уроке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делает запись темы урока (занятия).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графе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Домашнее задание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записывает содержание задания, номера страниц, задач, упражнений с отражением специфики выполнения домашнего задания, например: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Повторить…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»; 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Изучить …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Составить план к тексту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Изучить тему, составить и (или) заполнить таблицу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Выучить наизусть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Ответить на вопросы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Написать сочинение на тему ____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Подготовить реферат на тему …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Выполнить рисунок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Если в рамках выполнения домашнего задания предполагается использование электронных ресурсов, то указывается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ссылка на соответствующий ресурс с указанием действия ученика, например: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Пройди тест по ссылке ________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Посмотри видеоурок по ссылке _________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», 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Подбери материал по теме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Русские народные сказки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используя ссылку __________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, «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Выполни гимнастические упражнения на развитие икроножных мышц, используя ссылку _________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FFFFFF" w:val="clear"/>
        </w:rPr>
        <w:t xml:space="preserve">»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и др.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Учителя, работающие в первых классах в режиме дистанционного обучения, </w:t>
        <w:br/>
        <w:t xml:space="preserve">в графе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Домашнее задание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указывают необходимые действия ученика и ссылки, которыми родители (законные представители) первоклассников могут воспользоваться в целях более полного понимания и изучения темы. Указанные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графе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Домашнее задание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ссылки для первоклассников носят рекомендательный характер и не являются обязательными.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 проведении урока в режиме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онлайн в графе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Домашнее задание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дополнительно к сформулированному домашнему заданию указывается ссылка для подключения к следующему онлайн уроку.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Темы контрольных, практических, лабораторных и других работ учитель записывает в классный журнал в соответствии с тематическим планированием.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Текущая отметка, полученная обучающимся, выставляется в графу журнала, соответствующую теме учебного занятия.</w:t>
      </w:r>
    </w:p>
    <w:p>
      <w:pPr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10207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Приложение  № 1</w:t>
      </w:r>
    </w:p>
    <w:p>
      <w:pPr>
        <w:suppressAutoHyphens w:val="true"/>
        <w:spacing w:before="0" w:after="0" w:line="240"/>
        <w:ind w:right="0" w:left="1091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 Рекомендациям </w:t>
        <w:br/>
        <w:t xml:space="preserve">по регулированию отдельных вопросов осуществления образовательного процесса </w:t>
        <w:br/>
        <w:t xml:space="preserve">в условиях дистанционного обучения</w:t>
      </w:r>
    </w:p>
    <w:p>
      <w:pPr>
        <w:suppressAutoHyphens w:val="true"/>
        <w:spacing w:before="0" w:after="0" w:line="240"/>
        <w:ind w:right="0" w:left="11199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auto" w:val="clear"/>
        </w:rPr>
        <w:t xml:space="preserve">Примерный план мероприятий (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auto" w:val="clear"/>
        </w:rPr>
        <w:t xml:space="preserve">Дорожная карта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auto" w:val="clear"/>
        </w:rPr>
        <w:t xml:space="preserve">»)</w:t>
        <w:br/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auto" w:val="clear"/>
        </w:rPr>
        <w:t xml:space="preserve">по обеспечению перехода на дистанционное обучение в общеобразовательной организации</w:t>
      </w:r>
    </w:p>
    <w:tbl>
      <w:tblPr/>
      <w:tblGrid>
        <w:gridCol w:w="675"/>
        <w:gridCol w:w="9214"/>
        <w:gridCol w:w="2835"/>
        <w:gridCol w:w="2420"/>
      </w:tblGrid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п/п</w:t>
            </w: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Мероприятия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Исполнитель 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2"/>
                <w:shd w:fill="auto" w:val="clear"/>
              </w:rPr>
              <w:t xml:space="preserve">Сроки исполнения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1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Издание приказа(-ов) о переходе на дистанционное обучение, </w:t>
              <w:br/>
              <w:t xml:space="preserve">в том числе о назначении лиц, ответственных:</w:t>
            </w:r>
          </w:p>
          <w:p>
            <w:pPr>
              <w:suppressAutoHyphens w:val="true"/>
              <w:spacing w:before="0" w:after="0" w:line="240"/>
              <w:ind w:right="0" w:left="291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за организацию перехода на дистанционное обучение;</w:t>
            </w:r>
          </w:p>
          <w:p>
            <w:pPr>
              <w:suppressAutoHyphens w:val="true"/>
              <w:spacing w:before="0" w:after="0" w:line="240"/>
              <w:ind w:right="0" w:left="291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за информирование участников образовательных отношений;</w:t>
            </w:r>
          </w:p>
          <w:p>
            <w:pPr>
              <w:suppressAutoHyphens w:val="true"/>
              <w:spacing w:before="0" w:after="0" w:line="240"/>
              <w:ind w:right="0" w:left="291" w:firstLine="0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за организацию дистанционного обучения в каждом отдельном классе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директор общеобразовательной организации</w:t>
              <w:br/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(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далее – ОО)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до 07.04.2020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8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Актуализация локальных актов по вопросам организации и осуществления дистанционного обучения (при необходимости)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администрация ОО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до 07.04.2020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2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Мониторинг технической готовности общеобразовательной организации, педагогических работников, обучающихся  для перехода к дистанционному обучению, в том числе проведение тренировочных подключений обучающихся 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администрация ОО, классные руководители 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06.04.2020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6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Сбор и анализ информации (заявлений) родителей (законных представителей) обучающихся, представленной любым доступным способом, в том числе и использованием информационно-телекоммуникационной сети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Интернет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»,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о выбранной ими форме дистанционного обучения с учетом технических условий и наличия оборудования (компьютерное оборудование, мобильные устройства, Интернет), имеющихся по месту проживания ученика.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администрация ОО, классные руководители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до 06.04.2020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0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Определение организационно-технологической схемы дистанционного обучения для каждого ученика с учетом технических условий и оборудования, имеющихся по месту проживания ученика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администрация ОО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до 06.04.2020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4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Внесение изменений в режим работы общеобразовательной организации:</w:t>
            </w:r>
          </w:p>
          <w:p>
            <w:pPr>
              <w:suppressAutoHyphens w:val="true"/>
              <w:spacing w:before="0" w:after="0" w:line="240"/>
              <w:ind w:right="0" w:left="0" w:firstLine="318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корректировка расписания уроков, занятий внеурочной деятельности;</w:t>
            </w:r>
          </w:p>
          <w:p>
            <w:pPr>
              <w:suppressAutoHyphens w:val="true"/>
              <w:spacing w:before="0" w:after="0" w:line="240"/>
              <w:ind w:right="0" w:left="0" w:firstLine="318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корректировка продолжительности уроков, занятий внеурочной деятельности, перерывов между ними.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администрация ОО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до 06.04.2020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9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Включение в расписание уроков классных часов, проводимых в режиме онлайн, с привлечением социальных педагогов, психологов, педагогических работников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администрация ОО, классные руководители 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до 06.04.2020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53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32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Внесение изменений в рабочие программы учителей по каждому учебному предмету, в том числе:</w:t>
            </w:r>
          </w:p>
          <w:p>
            <w:pPr>
              <w:suppressAutoHyphens w:val="true"/>
              <w:spacing w:before="0" w:after="0" w:line="240"/>
              <w:ind w:right="0" w:left="32" w:firstLine="286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указание в тематическом планировании рабочих программ учителей форм дистанционного обучения, применяемых в изложении материала, форм обратной связи, ссылок на применяемые электронные образовательные ресурсы;</w:t>
            </w:r>
          </w:p>
          <w:p>
            <w:pPr>
              <w:suppressAutoHyphens w:val="true"/>
              <w:spacing w:before="0" w:after="0" w:line="240"/>
              <w:ind w:right="0" w:left="32" w:firstLine="286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при необходимости – перераспределение (уплотнение) тематических модулей, блоков, отдельных тем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учителя-предметники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до 07.04.2020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58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Информирование каждого участника образовательных отношений о формах организации дистанционного обучения, внесенных изменениях в расписание уроков, занятий внеурочной деятельности, их времени, продолжительности, способах обратной связи, в том числе:</w:t>
            </w:r>
          </w:p>
          <w:p>
            <w:pPr>
              <w:suppressAutoHyphens w:val="true"/>
              <w:spacing w:before="0" w:after="0" w:line="240"/>
              <w:ind w:right="0" w:left="0" w:firstLine="318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размещение указанной информации на официальном сайте общеобразовательной организации;</w:t>
            </w:r>
          </w:p>
          <w:p>
            <w:pPr>
              <w:suppressAutoHyphens w:val="true"/>
              <w:spacing w:before="0" w:after="0" w:line="240"/>
              <w:ind w:right="0" w:left="0" w:firstLine="318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регулярная актуализация информации на официальном сайте общеобразовательной организации.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ответственный за информирование участников образовательных отношений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до 06.04.2020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63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Организация и проведение разъяснительной и консультативной работы с родителями (законными представителями) обучающихся по вопросам организации дистанционного обучения по каждому учебному предмету, в том числе для обучающихся на дому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классные руководители, учителя-предметники 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постоянно на период дистанционного обучения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67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Проведение с использованием дистанционных технологий рабочего совещания с педагогическими работниками о готовности к переходу на дистанционное обучение 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администрация ОО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06.04.2020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71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Мониторинг осуществления контроля текущей успеваемости и своевременного выставления текущих оценок в электронный классный журнал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администрация ОО, классные руководители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постоянно на период дистанционного обучения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75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Мониторинг организации дистанционного обучения в общеобразовательной организации:</w:t>
            </w:r>
          </w:p>
          <w:p>
            <w:pPr>
              <w:suppressAutoHyphens w:val="true"/>
              <w:spacing w:before="0" w:after="0" w:line="240"/>
              <w:ind w:right="0" w:left="34" w:firstLine="284"/>
              <w:jc w:val="both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выявление и устранение проблем, связанных с организацией, осуществлением и качеством образования в условиях дистанционного обучения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администрация ОО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постоянно на период дистанционного обучения</w:t>
            </w:r>
          </w:p>
        </w:tc>
      </w:tr>
      <w:tr>
        <w:trPr>
          <w:trHeight w:val="1" w:hRule="atLeast"/>
          <w:jc w:val="left"/>
        </w:trPr>
        <w:tc>
          <w:tcPr>
            <w:tcW w:w="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80"/>
              </w:numPr>
              <w:tabs>
                <w:tab w:val="left" w:pos="0" w:leader="none"/>
              </w:tabs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21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both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Организация и проведение внутренней оценки качества образования с целью выполнения общеобразовательных программ в полном объеме</w:t>
            </w:r>
          </w:p>
        </w:tc>
        <w:tc>
          <w:tcPr>
            <w:tcW w:w="28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администрация ОО</w:t>
            </w:r>
          </w:p>
        </w:tc>
        <w:tc>
          <w:tcPr>
            <w:tcW w:w="2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согласно плану ОО</w:t>
            </w:r>
          </w:p>
        </w:tc>
      </w:tr>
    </w:tbl>
    <w:p>
      <w:pPr>
        <w:suppressAutoHyphens w:val="true"/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10207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Приложение  № 2</w:t>
      </w:r>
    </w:p>
    <w:p>
      <w:pPr>
        <w:suppressAutoHyphens w:val="true"/>
        <w:spacing w:before="0" w:after="0" w:line="240"/>
        <w:ind w:right="0" w:left="1091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 Рекомендациям </w:t>
        <w:br/>
        <w:t xml:space="preserve">по регулированию отдельных вопросов осуществления образовательного процесса </w:t>
        <w:br/>
        <w:t xml:space="preserve">в условиях дистанционного обучения</w:t>
      </w:r>
    </w:p>
    <w:p>
      <w:pPr>
        <w:suppressAutoHyphens w:val="true"/>
        <w:spacing w:before="0" w:after="200" w:line="276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ПРИМЕР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Расписание уроков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 </w:t>
        <w:br/>
        <w:t xml:space="preserve">на период дистанционного обучения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tbl>
      <w:tblPr/>
      <w:tblGrid>
        <w:gridCol w:w="506"/>
        <w:gridCol w:w="733"/>
        <w:gridCol w:w="1627"/>
        <w:gridCol w:w="2213"/>
        <w:gridCol w:w="948"/>
        <w:gridCol w:w="2408"/>
        <w:gridCol w:w="1183"/>
        <w:gridCol w:w="2675"/>
        <w:gridCol w:w="1579"/>
      </w:tblGrid>
      <w:tr>
        <w:trPr>
          <w:trHeight w:val="282" w:hRule="auto"/>
          <w:jc w:val="center"/>
        </w:trPr>
        <w:tc>
          <w:tcPr>
            <w:tcW w:w="5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а</w:t>
            </w:r>
          </w:p>
        </w:tc>
        <w:tc>
          <w:tcPr>
            <w:tcW w:w="359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б</w:t>
            </w:r>
          </w:p>
        </w:tc>
        <w:tc>
          <w:tcPr>
            <w:tcW w:w="425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в</w:t>
            </w:r>
          </w:p>
        </w:tc>
      </w:tr>
      <w:tr>
        <w:trPr>
          <w:trHeight w:val="185" w:hRule="auto"/>
          <w:jc w:val="center"/>
        </w:trPr>
        <w:tc>
          <w:tcPr>
            <w:tcW w:w="50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113" w:left="113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10.00-10.25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Английский язык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Музыка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Математика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10.45-11.15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Математика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Русский язык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Русский язык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12.00-12.25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Литература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История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Литература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12.45-13.15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Технология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Математика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Английский язык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13.30-14.00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Технология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Английский язык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Технология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14.15-14.40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Русский язык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Классный час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Технология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2" w:hRule="auto"/>
          <w:jc w:val="center"/>
        </w:trPr>
        <w:tc>
          <w:tcPr>
            <w:tcW w:w="13872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113" w:left="113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вторник</w:t>
            </w: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а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б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в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10.15-10.45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Родной язык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Родной язык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Родной язык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11.00-11.30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История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Технология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Русский язык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12.00-12.30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Математика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Технология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Математика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12.45-13.10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Русский язык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Русский язык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История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13.30-14.00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География 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Биология 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Родная литература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14.15-14.40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ИЗО</w:t>
            </w: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Математика</w:t>
            </w: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Музыка</w:t>
            </w: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онлайн</w:t>
            </w:r>
          </w:p>
        </w:tc>
      </w:tr>
      <w:tr>
        <w:trPr>
          <w:trHeight w:val="282" w:hRule="auto"/>
          <w:jc w:val="center"/>
        </w:trPr>
        <w:tc>
          <w:tcPr>
            <w:tcW w:w="50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16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15.00-15.30</w:t>
            </w:r>
          </w:p>
        </w:tc>
        <w:tc>
          <w:tcPr>
            <w:tcW w:w="22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7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10207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Приложение  № 3</w:t>
      </w:r>
    </w:p>
    <w:p>
      <w:pPr>
        <w:suppressAutoHyphens w:val="true"/>
        <w:spacing w:before="0" w:after="0" w:line="240"/>
        <w:ind w:right="0" w:left="1091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 Рекомендациям </w:t>
        <w:br/>
        <w:t xml:space="preserve">по регулированию отдельных вопросов осуществления образовательного процесса </w:t>
        <w:br/>
        <w:t xml:space="preserve">в условиях дистанционного обучения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ПРИМЕР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Предмет - ФИЗИКА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Количество часов в неделю - 2 часа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/>
      <w:tblGrid>
        <w:gridCol w:w="534"/>
        <w:gridCol w:w="3118"/>
        <w:gridCol w:w="1418"/>
        <w:gridCol w:w="1503"/>
        <w:gridCol w:w="2041"/>
        <w:gridCol w:w="1984"/>
        <w:gridCol w:w="2410"/>
        <w:gridCol w:w="1276"/>
        <w:gridCol w:w="861"/>
      </w:tblGrid>
      <w:tr>
        <w:trPr>
          <w:trHeight w:val="1" w:hRule="atLeast"/>
          <w:jc w:val="left"/>
        </w:trPr>
        <w:tc>
          <w:tcPr>
            <w:tcW w:w="5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№</w:t>
            </w:r>
          </w:p>
        </w:tc>
        <w:tc>
          <w:tcPr>
            <w:tcW w:w="31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Тема урока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Способ организации  урока</w:t>
            </w:r>
          </w:p>
        </w:tc>
        <w:tc>
          <w:tcPr>
            <w:tcW w:w="15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Теория</w:t>
            </w:r>
          </w:p>
        </w:tc>
        <w:tc>
          <w:tcPr>
            <w:tcW w:w="20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Первичное закрепление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Закрепление</w:t>
            </w:r>
          </w:p>
        </w:tc>
        <w:tc>
          <w:tcPr>
            <w:tcW w:w="2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Проверка знаний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Планируемая дата</w:t>
            </w:r>
          </w:p>
        </w:tc>
        <w:tc>
          <w:tcPr>
            <w:tcW w:w="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Фактическая дата</w:t>
            </w:r>
          </w:p>
        </w:tc>
      </w:tr>
      <w:tr>
        <w:trPr>
          <w:trHeight w:val="1" w:hRule="atLeast"/>
          <w:jc w:val="left"/>
        </w:trPr>
        <w:tc>
          <w:tcPr>
            <w:tcW w:w="15145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Работа,  мощность, энергия (13 часов)</w:t>
            </w:r>
          </w:p>
        </w:tc>
      </w:tr>
      <w:tr>
        <w:trPr>
          <w:trHeight w:val="1181" w:hRule="auto"/>
          <w:jc w:val="left"/>
        </w:trPr>
        <w:tc>
          <w:tcPr>
            <w:tcW w:w="5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31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Простые механизмы. Рычаг. Равновесие сил на рычаге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кейс-технологии (ЭОР)</w:t>
            </w:r>
          </w:p>
        </w:tc>
        <w:tc>
          <w:tcPr>
            <w:tcW w:w="15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Изучить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§24, 25</w:t>
            </w:r>
          </w:p>
        </w:tc>
        <w:tc>
          <w:tcPr>
            <w:tcW w:w="20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Просмотрите видео урок </w:t>
            </w:r>
            <w:hyperlink xmlns:r="http://schemas.openxmlformats.org/officeDocument/2006/relationships" r:id="docRId0">
              <w:r>
                <w:rPr>
                  <w:rFonts w:ascii="Times New Roman" w:hAnsi="Times New Roman" w:cs="Times New Roman" w:eastAsia="Times New Roman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https://</w:t>
              </w:r>
            </w:hyperlink>
            <w:r>
              <w:rPr>
                <w:rFonts w:ascii="Times New Roman" w:hAnsi="Times New Roman" w:cs="Times New Roman" w:eastAsia="Times New Roman"/>
                <w:color w:val="0000FF"/>
                <w:spacing w:val="0"/>
                <w:position w:val="0"/>
                <w:sz w:val="22"/>
                <w:u w:val="single"/>
                <w:shd w:fill="auto" w:val="clear"/>
              </w:rPr>
              <w:t xml:space="preserve">2</w:t>
            </w:r>
            <w:hyperlink xmlns:r="http://schemas.openxmlformats.org/officeDocument/2006/relationships" r:id="docRId1">
              <w:r>
                <w:rPr>
                  <w:rFonts w:ascii="Times New Roman" w:hAnsi="Times New Roman" w:cs="Times New Roman" w:eastAsia="Times New Roman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infourokг.ru/videouroki/457</w:t>
              </w:r>
            </w:hyperlink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Решите №№25.11, 25.18, 25.30</w:t>
            </w:r>
          </w:p>
        </w:tc>
        <w:tc>
          <w:tcPr>
            <w:tcW w:w="2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Решите  </w:t>
            </w:r>
            <w:hyperlink xmlns:r="http://schemas.openxmlformats.org/officeDocument/2006/relationships" r:id="docRId2">
              <w:r>
                <w:rPr>
                  <w:rFonts w:ascii="Times New Roman" w:hAnsi="Times New Roman" w:cs="Times New Roman" w:eastAsia="Times New Roman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https://www.LKkrug.ru/TestWork/Join/</w:t>
              </w:r>
            </w:hyperlink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06.04.2020</w:t>
            </w:r>
          </w:p>
        </w:tc>
        <w:tc>
          <w:tcPr>
            <w:tcW w:w="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31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Инструктаж по ТБ. Лабораторная работа № 11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Изучение условия равновесия рычага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онлайн</w:t>
            </w:r>
          </w:p>
        </w:tc>
        <w:tc>
          <w:tcPr>
            <w:tcW w:w="15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Ссылка для подключения в YouTube</w:t>
            </w:r>
          </w:p>
        </w:tc>
        <w:tc>
          <w:tcPr>
            <w:tcW w:w="20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09.04.2020</w:t>
            </w:r>
          </w:p>
        </w:tc>
        <w:tc>
          <w:tcPr>
            <w:tcW w:w="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86" w:hRule="auto"/>
          <w:jc w:val="left"/>
        </w:trPr>
        <w:tc>
          <w:tcPr>
            <w:tcW w:w="5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31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Момент силы.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Рычаги в технике, быту и природе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кейс-технологии (ЭОР)</w:t>
            </w:r>
          </w:p>
        </w:tc>
        <w:tc>
          <w:tcPr>
            <w:tcW w:w="15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Изучить</w:t>
            </w:r>
          </w:p>
        </w:tc>
        <w:tc>
          <w:tcPr>
            <w:tcW w:w="20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Просмотрите видео урок </w:t>
            </w:r>
            <w:hyperlink xmlns:r="http://schemas.openxmlformats.org/officeDocument/2006/relationships" r:id="docRId3">
              <w:r>
                <w:rPr>
                  <w:rFonts w:ascii="Times New Roman" w:hAnsi="Times New Roman" w:cs="Times New Roman" w:eastAsia="Times New Roman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https://</w:t>
              </w:r>
            </w:hyperlink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infourok.ru/…</w:t>
            </w: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Решите №№_________</w:t>
            </w:r>
          </w:p>
        </w:tc>
        <w:tc>
          <w:tcPr>
            <w:tcW w:w="2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Решите  </w:t>
            </w:r>
            <w:hyperlink xmlns:r="http://schemas.openxmlformats.org/officeDocument/2006/relationships" r:id="docRId4">
              <w:r>
                <w:rPr>
                  <w:rFonts w:ascii="Times New Roman" w:hAnsi="Times New Roman" w:cs="Times New Roman" w:eastAsia="Times New Roman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https://www.LKkrug.ru/TestWork/</w:t>
              </w:r>
            </w:hyperlink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2"/>
                <w:shd w:fill="auto" w:val="clear"/>
              </w:rPr>
              <w:t xml:space="preserve">13.04.2020</w:t>
            </w:r>
          </w:p>
        </w:tc>
        <w:tc>
          <w:tcPr>
            <w:tcW w:w="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</w:p>
        </w:tc>
        <w:tc>
          <w:tcPr>
            <w:tcW w:w="31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Применение закона равновесия рычага к блоку. Равенство работ при использовании простых механизмов.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Золотое правило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»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механики.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онлайн</w:t>
            </w:r>
          </w:p>
        </w:tc>
        <w:tc>
          <w:tcPr>
            <w:tcW w:w="15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Ссылка для подключения в YouTube</w:t>
            </w:r>
          </w:p>
        </w:tc>
        <w:tc>
          <w:tcPr>
            <w:tcW w:w="20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решите </w:t>
            </w:r>
            <w:hyperlink xmlns:r="http://schemas.openxmlformats.org/officeDocument/2006/relationships" r:id="docRId5">
              <w:r>
                <w:rPr>
                  <w:rFonts w:ascii="Times New Roman" w:hAnsi="Times New Roman" w:cs="Times New Roman" w:eastAsia="Times New Roman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https://www.LKkrugs.ru/TestWork/</w:t>
              </w:r>
            </w:hyperlink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.....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16.04.2020</w:t>
            </w:r>
          </w:p>
        </w:tc>
        <w:tc>
          <w:tcPr>
            <w:tcW w:w="8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uppressAutoHyphens w:val="true"/>
        <w:spacing w:before="0" w:after="0" w:line="240"/>
        <w:ind w:right="0" w:left="11199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."/>
    </w:lvl>
  </w:abstractNum>
  <w:abstractNum w:abstractNumId="7">
    <w:lvl w:ilvl="0">
      <w:start w:val="1"/>
      <w:numFmt w:val="decimal"/>
      <w:lvlText w:val="%1."/>
    </w:lvl>
  </w:abstractNum>
  <w:abstractNum w:abstractNumId="13">
    <w:lvl w:ilvl="0">
      <w:start w:val="1"/>
      <w:numFmt w:val="decimal"/>
      <w:lvlText w:val="%1."/>
    </w:lvl>
  </w:abstractNum>
  <w:abstractNum w:abstractNumId="19">
    <w:lvl w:ilvl="0">
      <w:start w:val="1"/>
      <w:numFmt w:val="decimal"/>
      <w:lvlText w:val="%1."/>
    </w:lvl>
  </w:abstractNum>
  <w:abstractNum w:abstractNumId="25">
    <w:lvl w:ilvl="0">
      <w:start w:val="1"/>
      <w:numFmt w:val="decimal"/>
      <w:lvlText w:val="%1."/>
    </w:lvl>
  </w:abstractNum>
  <w:abstractNum w:abstractNumId="31">
    <w:lvl w:ilvl="0">
      <w:start w:val="1"/>
      <w:numFmt w:val="decimal"/>
      <w:lvlText w:val="%1."/>
    </w:lvl>
  </w:abstractNum>
  <w:abstractNum w:abstractNumId="37">
    <w:lvl w:ilvl="0">
      <w:start w:val="1"/>
      <w:numFmt w:val="decimal"/>
      <w:lvlText w:val="%1."/>
    </w:lvl>
  </w:abstractNum>
  <w:abstractNum w:abstractNumId="43">
    <w:lvl w:ilvl="0">
      <w:start w:val="1"/>
      <w:numFmt w:val="decimal"/>
      <w:lvlText w:val="%1."/>
    </w:lvl>
  </w:abstractNum>
  <w:abstractNum w:abstractNumId="49">
    <w:lvl w:ilvl="0">
      <w:start w:val="1"/>
      <w:numFmt w:val="decimal"/>
      <w:lvlText w:val="%1."/>
    </w:lvl>
  </w:abstractNum>
  <w:abstractNum w:abstractNumId="55">
    <w:lvl w:ilvl="0">
      <w:start w:val="1"/>
      <w:numFmt w:val="decimal"/>
      <w:lvlText w:val="%1."/>
    </w:lvl>
  </w:abstractNum>
  <w:abstractNum w:abstractNumId="61">
    <w:lvl w:ilvl="0">
      <w:start w:val="1"/>
      <w:numFmt w:val="decimal"/>
      <w:lvlText w:val="%1."/>
    </w:lvl>
  </w:abstractNum>
  <w:abstractNum w:abstractNumId="67">
    <w:lvl w:ilvl="0">
      <w:start w:val="1"/>
      <w:numFmt w:val="decimal"/>
      <w:lvlText w:val="%1."/>
    </w:lvl>
  </w:abstractNum>
  <w:abstractNum w:abstractNumId="73">
    <w:lvl w:ilvl="0">
      <w:start w:val="1"/>
      <w:numFmt w:val="decimal"/>
      <w:lvlText w:val="%1."/>
    </w:lvl>
  </w:abstractNum>
  <w:abstractNum w:abstractNumId="79">
    <w:lvl w:ilvl="0">
      <w:start w:val="1"/>
      <w:numFmt w:val="decimal"/>
      <w:lvlText w:val="%1."/>
    </w:lvl>
  </w:abstractNum>
  <w:num w:numId="21">
    <w:abstractNumId w:val="79"/>
  </w:num>
  <w:num w:numId="28">
    <w:abstractNumId w:val="73"/>
  </w:num>
  <w:num w:numId="32">
    <w:abstractNumId w:val="67"/>
  </w:num>
  <w:num w:numId="36">
    <w:abstractNumId w:val="61"/>
  </w:num>
  <w:num w:numId="40">
    <w:abstractNumId w:val="55"/>
  </w:num>
  <w:num w:numId="44">
    <w:abstractNumId w:val="49"/>
  </w:num>
  <w:num w:numId="49">
    <w:abstractNumId w:val="43"/>
  </w:num>
  <w:num w:numId="53">
    <w:abstractNumId w:val="37"/>
  </w:num>
  <w:num w:numId="58">
    <w:abstractNumId w:val="31"/>
  </w:num>
  <w:num w:numId="63">
    <w:abstractNumId w:val="25"/>
  </w:num>
  <w:num w:numId="67">
    <w:abstractNumId w:val="19"/>
  </w:num>
  <w:num w:numId="71">
    <w:abstractNumId w:val="13"/>
  </w:num>
  <w:num w:numId="75">
    <w:abstractNumId w:val="7"/>
  </w:num>
  <w:num w:numId="80">
    <w:abstractNumId w:val="1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infourok.ru/videouroki/457" Id="docRId1" Type="http://schemas.openxmlformats.org/officeDocument/2006/relationships/hyperlink"/><Relationship TargetMode="External" Target="https://infourok.ru/videouroki/457" Id="docRId3" Type="http://schemas.openxmlformats.org/officeDocument/2006/relationships/hyperlink"/><Relationship TargetMode="External" Target="https://www.lkkrugs.ru/TestWork/" Id="docRId5" Type="http://schemas.openxmlformats.org/officeDocument/2006/relationships/hyperlink"/><Relationship Target="styles.xml" Id="docRId7" Type="http://schemas.openxmlformats.org/officeDocument/2006/relationships/styles"/><Relationship TargetMode="External" Target="https://infourok.ru/videouroki/457" Id="docRId0" Type="http://schemas.openxmlformats.org/officeDocument/2006/relationships/hyperlink"/><Relationship TargetMode="External" Target="https://www.lkkrug.ru/TestWork/Join/" Id="docRId2" Type="http://schemas.openxmlformats.org/officeDocument/2006/relationships/hyperlink"/><Relationship TargetMode="External" Target="https://www.lkkrug.ru/TestWork/" Id="docRId4" Type="http://schemas.openxmlformats.org/officeDocument/2006/relationships/hyperlink"/><Relationship Target="numbering.xml" Id="docRId6" Type="http://schemas.openxmlformats.org/officeDocument/2006/relationships/numbering"/></Relationships>
</file>